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t>King Fahad Medical City</w:t>
      </w:r>
      <w:r w:rsidR="00670AB2" w:rsidRPr="003516D2">
        <w:rPr>
          <w:rFonts w:ascii="Times New Roman" w:hAnsi="Times New Roman" w:cs="Times New Roman"/>
          <w:sz w:val="24"/>
          <w:szCs w:val="24"/>
        </w:rPr>
        <w:t xml:space="preserve"> (KFMC)</w:t>
      </w: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t>Student’s Name</w:t>
      </w: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t>Institution</w:t>
      </w: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t>Course</w:t>
      </w: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t>Professor’s Name</w:t>
      </w: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t>Date</w:t>
      </w: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927685" w:rsidP="00ED6AD2">
      <w:pPr>
        <w:spacing w:line="480" w:lineRule="auto"/>
        <w:jc w:val="center"/>
        <w:rPr>
          <w:rFonts w:ascii="Times New Roman" w:hAnsi="Times New Roman" w:cs="Times New Roman"/>
          <w:sz w:val="24"/>
          <w:szCs w:val="24"/>
        </w:rPr>
      </w:pPr>
    </w:p>
    <w:p w:rsidR="00927685"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lastRenderedPageBreak/>
        <w:t>King Fahad Medical City</w:t>
      </w:r>
      <w:r w:rsidR="0083034F">
        <w:rPr>
          <w:rFonts w:ascii="Times New Roman" w:hAnsi="Times New Roman" w:cs="Times New Roman"/>
          <w:sz w:val="24"/>
          <w:szCs w:val="24"/>
        </w:rPr>
        <w:t xml:space="preserve"> (KFMC)</w:t>
      </w:r>
    </w:p>
    <w:p w:rsidR="00927685" w:rsidRPr="00ED6AD2" w:rsidRDefault="00231FA4" w:rsidP="00ED6AD2">
      <w:pPr>
        <w:spacing w:line="480" w:lineRule="auto"/>
        <w:jc w:val="center"/>
        <w:rPr>
          <w:rFonts w:ascii="Times New Roman" w:hAnsi="Times New Roman" w:cs="Times New Roman"/>
          <w:b/>
          <w:bCs/>
          <w:sz w:val="24"/>
          <w:szCs w:val="24"/>
        </w:rPr>
      </w:pPr>
      <w:r w:rsidRPr="00ED6AD2">
        <w:rPr>
          <w:rFonts w:ascii="Times New Roman" w:hAnsi="Times New Roman" w:cs="Times New Roman"/>
          <w:b/>
          <w:bCs/>
          <w:sz w:val="24"/>
          <w:szCs w:val="24"/>
        </w:rPr>
        <w:t>Performance from a Patient-Centered Perspective</w:t>
      </w:r>
    </w:p>
    <w:p w:rsidR="005404AF"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The colossal healthcare facility comprises four hospitals and four medical centers and treats over 50 000 in-patients &amp; over 600 000 out-patients yearly. Various factors make the facility satisfy the criterion of patient-centered care. First, this facility is staffed with highly qualified healthcare workers ranging from nurses to doctors</w:t>
      </w:r>
      <w:r w:rsidR="00C66351" w:rsidRPr="003516D2">
        <w:rPr>
          <w:rFonts w:ascii="Times New Roman" w:hAnsi="Times New Roman" w:cs="Times New Roman"/>
          <w:sz w:val="24"/>
          <w:szCs w:val="24"/>
        </w:rPr>
        <w:t xml:space="preserve"> (</w:t>
      </w:r>
      <w:r w:rsidR="00C66351" w:rsidRPr="003516D2">
        <w:rPr>
          <w:rFonts w:ascii="Times New Roman" w:hAnsi="Times New Roman" w:cs="Times New Roman"/>
          <w:color w:val="222222"/>
          <w:sz w:val="24"/>
          <w:szCs w:val="24"/>
          <w:shd w:val="clear" w:color="auto" w:fill="FFFFFF"/>
        </w:rPr>
        <w:t>Farah et al., 2019)</w:t>
      </w:r>
      <w:r w:rsidRPr="003516D2">
        <w:rPr>
          <w:rFonts w:ascii="Times New Roman" w:hAnsi="Times New Roman" w:cs="Times New Roman"/>
          <w:sz w:val="24"/>
          <w:szCs w:val="24"/>
        </w:rPr>
        <w:t>. These workers collaborate with the management in ensuring quality care is delivered to all patients.  Proper diagnosis and therapy are assured by having the right individuals to offer medical care to its patient. Again, qualified professionals can quickly adapt to technological changes in medicine, such as telemedicine trends, providing exemplary patient care.</w:t>
      </w:r>
    </w:p>
    <w:p w:rsidR="00927685"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 xml:space="preserve">One of the critical attributes of this medical facility is that experts from a wide range of disciplines are brought together to provide care for </w:t>
      </w:r>
      <w:r w:rsidR="005A0162" w:rsidRPr="003516D2">
        <w:rPr>
          <w:rFonts w:ascii="Times New Roman" w:hAnsi="Times New Roman" w:cs="Times New Roman"/>
          <w:sz w:val="24"/>
          <w:szCs w:val="24"/>
        </w:rPr>
        <w:t>patients. According</w:t>
      </w:r>
      <w:r w:rsidR="00C66351" w:rsidRPr="003516D2">
        <w:rPr>
          <w:rFonts w:ascii="Times New Roman" w:hAnsi="Times New Roman" w:cs="Times New Roman"/>
          <w:sz w:val="24"/>
          <w:szCs w:val="24"/>
        </w:rPr>
        <w:t xml:space="preserve"> to </w:t>
      </w:r>
      <w:r w:rsidR="00C66351" w:rsidRPr="003516D2">
        <w:rPr>
          <w:rFonts w:ascii="Times New Roman" w:hAnsi="Times New Roman" w:cs="Times New Roman"/>
          <w:color w:val="222222"/>
          <w:sz w:val="24"/>
          <w:szCs w:val="24"/>
          <w:shd w:val="clear" w:color="auto" w:fill="FFFFFF"/>
        </w:rPr>
        <w:t>Farah</w:t>
      </w:r>
      <w:r w:rsidR="00C66351" w:rsidRPr="003516D2">
        <w:rPr>
          <w:rFonts w:ascii="Times New Roman" w:hAnsi="Times New Roman" w:cs="Times New Roman"/>
          <w:sz w:val="24"/>
          <w:szCs w:val="24"/>
        </w:rPr>
        <w:t xml:space="preserve"> et al. (2019), e</w:t>
      </w:r>
      <w:r w:rsidR="005404AF" w:rsidRPr="003516D2">
        <w:rPr>
          <w:rFonts w:ascii="Times New Roman" w:hAnsi="Times New Roman" w:cs="Times New Roman"/>
          <w:sz w:val="24"/>
          <w:szCs w:val="24"/>
        </w:rPr>
        <w:t xml:space="preserve">very clinician in the hospital is required to consult with other professionals when they deem it necessary. This multidisciplinary approach to medical care combined with skillful personnel has promoted patient satisfaction. </w:t>
      </w:r>
      <w:r w:rsidR="005E3928" w:rsidRPr="003516D2">
        <w:rPr>
          <w:rFonts w:ascii="Times New Roman" w:hAnsi="Times New Roman" w:cs="Times New Roman"/>
          <w:sz w:val="24"/>
          <w:szCs w:val="24"/>
        </w:rPr>
        <w:t xml:space="preserve">The commitment by nurses and other hospital workers to the quality of life by offering programs that ensure community efforts to improve the patient's wellness is an indication of the facility's determination to focus care to patients. Since clinicians engage all people concerned with the patient in the therapy procedure, a good patient outcome is achieved. </w:t>
      </w:r>
    </w:p>
    <w:p w:rsidR="005E3928"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 xml:space="preserve">The facility is sub-divided into different hospitals and medical centers where treatment for specific conditions is provided. </w:t>
      </w:r>
      <w:r w:rsidR="00C66351" w:rsidRPr="003516D2">
        <w:rPr>
          <w:rFonts w:ascii="Times New Roman" w:hAnsi="Times New Roman" w:cs="Times New Roman"/>
          <w:color w:val="222222"/>
          <w:sz w:val="24"/>
          <w:szCs w:val="24"/>
          <w:shd w:val="clear" w:color="auto" w:fill="FFFFFF"/>
        </w:rPr>
        <w:t>Alsaheel</w:t>
      </w:r>
      <w:r w:rsidR="00C66351" w:rsidRPr="003516D2">
        <w:rPr>
          <w:rFonts w:ascii="Times New Roman" w:hAnsi="Times New Roman" w:cs="Times New Roman"/>
          <w:sz w:val="24"/>
          <w:szCs w:val="24"/>
        </w:rPr>
        <w:t xml:space="preserve"> et al. (2020), asserted that </w:t>
      </w:r>
      <w:r w:rsidR="00894FA7" w:rsidRPr="003516D2">
        <w:rPr>
          <w:rFonts w:ascii="Times New Roman" w:hAnsi="Times New Roman" w:cs="Times New Roman"/>
          <w:sz w:val="24"/>
          <w:szCs w:val="24"/>
        </w:rPr>
        <w:t>t</w:t>
      </w:r>
      <w:r w:rsidRPr="003516D2">
        <w:rPr>
          <w:rFonts w:ascii="Times New Roman" w:hAnsi="Times New Roman" w:cs="Times New Roman"/>
          <w:sz w:val="24"/>
          <w:szCs w:val="24"/>
        </w:rPr>
        <w:t xml:space="preserve">he children's hospital treats newborns and kids using quality clinic programs and advanced intensive </w:t>
      </w:r>
      <w:r w:rsidR="005A0162" w:rsidRPr="003516D2">
        <w:rPr>
          <w:rFonts w:ascii="Times New Roman" w:hAnsi="Times New Roman" w:cs="Times New Roman"/>
          <w:sz w:val="24"/>
          <w:szCs w:val="24"/>
        </w:rPr>
        <w:t xml:space="preserve">healthcare </w:t>
      </w:r>
      <w:r w:rsidR="005A0162" w:rsidRPr="003516D2">
        <w:rPr>
          <w:rFonts w:ascii="Times New Roman" w:hAnsi="Times New Roman" w:cs="Times New Roman"/>
          <w:sz w:val="24"/>
          <w:szCs w:val="24"/>
        </w:rPr>
        <w:lastRenderedPageBreak/>
        <w:t>procedures</w:t>
      </w:r>
      <w:r w:rsidRPr="003516D2">
        <w:rPr>
          <w:rFonts w:ascii="Times New Roman" w:hAnsi="Times New Roman" w:cs="Times New Roman"/>
          <w:sz w:val="24"/>
          <w:szCs w:val="24"/>
        </w:rPr>
        <w:t xml:space="preserve"> </w:t>
      </w:r>
      <w:r w:rsidR="000D70C9" w:rsidRPr="003516D2">
        <w:rPr>
          <w:rFonts w:ascii="Times New Roman" w:hAnsi="Times New Roman" w:cs="Times New Roman"/>
          <w:sz w:val="24"/>
          <w:szCs w:val="24"/>
        </w:rPr>
        <w:t>for this patient category. Here, a team of physicians, nurses, and other medical staff collaborate to offer quality treatment. The rehabilitation hospital uses the different psychological therapies to provide competent care to all individuals in need of mental disorder treatment. Due to the quality of the care provided, the hospital became the first facility outside North America to receive the Commission on Accreditation of Rehabilitation Facilities (CARF) certification. Currently, KF</w:t>
      </w:r>
      <w:r w:rsidR="00670AB2" w:rsidRPr="003516D2">
        <w:rPr>
          <w:rFonts w:ascii="Times New Roman" w:hAnsi="Times New Roman" w:cs="Times New Roman"/>
          <w:sz w:val="24"/>
          <w:szCs w:val="24"/>
        </w:rPr>
        <w:t>M</w:t>
      </w:r>
      <w:r w:rsidR="000D70C9" w:rsidRPr="003516D2">
        <w:rPr>
          <w:rFonts w:ascii="Times New Roman" w:hAnsi="Times New Roman" w:cs="Times New Roman"/>
          <w:sz w:val="24"/>
          <w:szCs w:val="24"/>
        </w:rPr>
        <w:t>C is a CARF member, which implies that its staff participates in evaluating European Union (EU) and united states (US) hospitals.</w:t>
      </w:r>
    </w:p>
    <w:p w:rsidR="008C284E"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 xml:space="preserve">The division of the facility into different facilities offering specific services makes it possible to facilitate a patient-centered approach to healthcare. Since the medical staff within the hospital focus on </w:t>
      </w:r>
      <w:r w:rsidR="00670AB2" w:rsidRPr="003516D2">
        <w:rPr>
          <w:rFonts w:ascii="Times New Roman" w:hAnsi="Times New Roman" w:cs="Times New Roman"/>
          <w:sz w:val="24"/>
          <w:szCs w:val="24"/>
        </w:rPr>
        <w:t>particular types of patients</w:t>
      </w:r>
      <w:r w:rsidRPr="003516D2">
        <w:rPr>
          <w:rFonts w:ascii="Times New Roman" w:hAnsi="Times New Roman" w:cs="Times New Roman"/>
          <w:sz w:val="24"/>
          <w:szCs w:val="24"/>
        </w:rPr>
        <w:t xml:space="preserve">, they exert </w:t>
      </w:r>
      <w:r w:rsidR="00670AB2" w:rsidRPr="003516D2">
        <w:rPr>
          <w:rFonts w:ascii="Times New Roman" w:hAnsi="Times New Roman" w:cs="Times New Roman"/>
          <w:sz w:val="24"/>
          <w:szCs w:val="24"/>
        </w:rPr>
        <w:t>all necessary efforts to find the best solutions to the illnesses. In each section of the hospital, medical staff research the conditions addressed there to establish all causes, symptoms, and effective treatments. These activities help promote patient-centered care and form my strong supportive opinion that KFMC services fulfill patient focus.</w:t>
      </w:r>
    </w:p>
    <w:p w:rsidR="00972005" w:rsidRPr="00ED6AD2" w:rsidRDefault="00231FA4" w:rsidP="00ED6AD2">
      <w:pPr>
        <w:spacing w:line="480" w:lineRule="auto"/>
        <w:ind w:firstLine="720"/>
        <w:jc w:val="center"/>
        <w:rPr>
          <w:rFonts w:ascii="Times New Roman" w:hAnsi="Times New Roman" w:cs="Times New Roman"/>
          <w:b/>
          <w:bCs/>
          <w:sz w:val="24"/>
          <w:szCs w:val="24"/>
        </w:rPr>
      </w:pPr>
      <w:r w:rsidRPr="00ED6AD2">
        <w:rPr>
          <w:rFonts w:ascii="Times New Roman" w:hAnsi="Times New Roman" w:cs="Times New Roman"/>
          <w:b/>
          <w:bCs/>
          <w:sz w:val="24"/>
          <w:szCs w:val="24"/>
        </w:rPr>
        <w:t>Indicators to Measure KFMC Performance</w:t>
      </w:r>
    </w:p>
    <w:p w:rsidR="00972005"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To measure its performance, I would suggest that KFMC keeps track of indicators such as people, financial performance, and quality. The people indicator involves a wide range of individuals, including the management, support employees, the medical staff, patients, and the community</w:t>
      </w:r>
      <w:r w:rsidR="00894FA7" w:rsidRPr="003516D2">
        <w:rPr>
          <w:rFonts w:ascii="Times New Roman" w:hAnsi="Times New Roman" w:cs="Times New Roman"/>
          <w:sz w:val="24"/>
          <w:szCs w:val="24"/>
        </w:rPr>
        <w:t xml:space="preserve"> (</w:t>
      </w:r>
      <w:r w:rsidR="00894FA7" w:rsidRPr="003516D2">
        <w:rPr>
          <w:rFonts w:ascii="Times New Roman" w:hAnsi="Times New Roman" w:cs="Times New Roman"/>
          <w:color w:val="222222"/>
          <w:sz w:val="24"/>
          <w:szCs w:val="24"/>
          <w:shd w:val="clear" w:color="auto" w:fill="FFFFFF"/>
        </w:rPr>
        <w:t>Cinaroglu &amp; Baser, 2018)</w:t>
      </w:r>
      <w:r w:rsidRPr="003516D2">
        <w:rPr>
          <w:rFonts w:ascii="Times New Roman" w:hAnsi="Times New Roman" w:cs="Times New Roman"/>
          <w:sz w:val="24"/>
          <w:szCs w:val="24"/>
        </w:rPr>
        <w:t xml:space="preserve">. The satisfaction of nurses and other medical personnel is paramount, and the hospital should give it close attention. The facility should ensure that issues of </w:t>
      </w:r>
      <w:r w:rsidR="007F0542" w:rsidRPr="003516D2">
        <w:rPr>
          <w:rFonts w:ascii="Times New Roman" w:hAnsi="Times New Roman" w:cs="Times New Roman"/>
          <w:sz w:val="24"/>
          <w:szCs w:val="24"/>
        </w:rPr>
        <w:t>nurses’</w:t>
      </w:r>
      <w:r w:rsidRPr="003516D2">
        <w:rPr>
          <w:rFonts w:ascii="Times New Roman" w:hAnsi="Times New Roman" w:cs="Times New Roman"/>
          <w:sz w:val="24"/>
          <w:szCs w:val="24"/>
        </w:rPr>
        <w:t xml:space="preserve"> burnout and safety remain a priority. The reason is that nurses</w:t>
      </w:r>
      <w:r w:rsidR="007F0542" w:rsidRPr="003516D2">
        <w:rPr>
          <w:rFonts w:ascii="Times New Roman" w:hAnsi="Times New Roman" w:cs="Times New Roman"/>
          <w:sz w:val="24"/>
          <w:szCs w:val="24"/>
        </w:rPr>
        <w:t>’</w:t>
      </w:r>
      <w:r w:rsidRPr="003516D2">
        <w:rPr>
          <w:rFonts w:ascii="Times New Roman" w:hAnsi="Times New Roman" w:cs="Times New Roman"/>
          <w:sz w:val="24"/>
          <w:szCs w:val="24"/>
        </w:rPr>
        <w:t xml:space="preserve"> performance is primarily based on their ability to offer efficient care. </w:t>
      </w:r>
      <w:r w:rsidR="007F0542" w:rsidRPr="003516D2">
        <w:rPr>
          <w:rFonts w:ascii="Times New Roman" w:hAnsi="Times New Roman" w:cs="Times New Roman"/>
          <w:sz w:val="24"/>
          <w:szCs w:val="24"/>
        </w:rPr>
        <w:t>In turn, t</w:t>
      </w:r>
      <w:r w:rsidRPr="003516D2">
        <w:rPr>
          <w:rFonts w:ascii="Times New Roman" w:hAnsi="Times New Roman" w:cs="Times New Roman"/>
          <w:sz w:val="24"/>
          <w:szCs w:val="24"/>
        </w:rPr>
        <w:t xml:space="preserve">his efficiency is determined by the </w:t>
      </w:r>
      <w:r w:rsidR="007F0542" w:rsidRPr="003516D2">
        <w:rPr>
          <w:rFonts w:ascii="Times New Roman" w:hAnsi="Times New Roman" w:cs="Times New Roman"/>
          <w:sz w:val="24"/>
          <w:szCs w:val="24"/>
        </w:rPr>
        <w:t>emotional and physical well-being of the workforce.</w:t>
      </w:r>
    </w:p>
    <w:p w:rsidR="007F0542"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lastRenderedPageBreak/>
        <w:t>The financial performance and quality of services form crucial indicators for performance. Here, the management should balance its profits and the charges on medical services to foster a smooth running and guarantee a bright financial future for the health facility. In doing so, the hospital can avoid exploiting patients and prevent losses that would cripple the entire institution. The quality indicator is mainly bestowed on patient satisfaction and patient outcomes. By providing evidence-based practice and patient-centered care, the hospital is likely to provide quality services to society. The above three indicators would be influential in maintaining exemplary performance based on the economic and social perspectives.</w:t>
      </w:r>
    </w:p>
    <w:p w:rsidR="007F0542" w:rsidRPr="00ED6AD2" w:rsidRDefault="00231FA4" w:rsidP="00ED6AD2">
      <w:pPr>
        <w:spacing w:line="480" w:lineRule="auto"/>
        <w:ind w:firstLine="720"/>
        <w:jc w:val="center"/>
        <w:rPr>
          <w:rFonts w:ascii="Times New Roman" w:hAnsi="Times New Roman" w:cs="Times New Roman"/>
          <w:b/>
          <w:bCs/>
          <w:sz w:val="24"/>
          <w:szCs w:val="24"/>
        </w:rPr>
      </w:pPr>
      <w:r w:rsidRPr="00ED6AD2">
        <w:rPr>
          <w:rFonts w:ascii="Times New Roman" w:hAnsi="Times New Roman" w:cs="Times New Roman"/>
          <w:b/>
          <w:bCs/>
          <w:sz w:val="24"/>
          <w:szCs w:val="24"/>
        </w:rPr>
        <w:t>Most Important Dimensions in Determining Outcomes</w:t>
      </w:r>
    </w:p>
    <w:p w:rsidR="007F0542"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 xml:space="preserve">KFMC could use </w:t>
      </w:r>
      <w:r w:rsidR="000C4CBD" w:rsidRPr="003516D2">
        <w:rPr>
          <w:rFonts w:ascii="Times New Roman" w:hAnsi="Times New Roman" w:cs="Times New Roman"/>
          <w:sz w:val="24"/>
          <w:szCs w:val="24"/>
        </w:rPr>
        <w:t>timeliness of care</w:t>
      </w:r>
      <w:r w:rsidRPr="003516D2">
        <w:rPr>
          <w:rFonts w:ascii="Times New Roman" w:hAnsi="Times New Roman" w:cs="Times New Roman"/>
          <w:sz w:val="24"/>
          <w:szCs w:val="24"/>
        </w:rPr>
        <w:t xml:space="preserve">, readmissions, </w:t>
      </w:r>
      <w:r w:rsidR="000C4CBD" w:rsidRPr="003516D2">
        <w:rPr>
          <w:rFonts w:ascii="Times New Roman" w:hAnsi="Times New Roman" w:cs="Times New Roman"/>
          <w:sz w:val="24"/>
          <w:szCs w:val="24"/>
        </w:rPr>
        <w:t xml:space="preserve">and </w:t>
      </w:r>
      <w:r w:rsidRPr="003516D2">
        <w:rPr>
          <w:rFonts w:ascii="Times New Roman" w:hAnsi="Times New Roman" w:cs="Times New Roman"/>
          <w:sz w:val="24"/>
          <w:szCs w:val="24"/>
        </w:rPr>
        <w:t xml:space="preserve">safety </w:t>
      </w:r>
      <w:r w:rsidR="000C4CBD" w:rsidRPr="003516D2">
        <w:rPr>
          <w:rFonts w:ascii="Times New Roman" w:hAnsi="Times New Roman" w:cs="Times New Roman"/>
          <w:sz w:val="24"/>
          <w:szCs w:val="24"/>
        </w:rPr>
        <w:t xml:space="preserve">&amp; effectiveness </w:t>
      </w:r>
      <w:r w:rsidRPr="003516D2">
        <w:rPr>
          <w:rFonts w:ascii="Times New Roman" w:hAnsi="Times New Roman" w:cs="Times New Roman"/>
          <w:sz w:val="24"/>
          <w:szCs w:val="24"/>
        </w:rPr>
        <w:t>of care</w:t>
      </w:r>
      <w:r w:rsidR="000C4CBD" w:rsidRPr="003516D2">
        <w:rPr>
          <w:rFonts w:ascii="Times New Roman" w:hAnsi="Times New Roman" w:cs="Times New Roman"/>
          <w:sz w:val="24"/>
          <w:szCs w:val="24"/>
        </w:rPr>
        <w:t xml:space="preserve"> as the critical dimensions in determining outcomes. Timeliness outcome entails the evaluation of patient's access to care</w:t>
      </w:r>
      <w:r w:rsidR="00894FA7" w:rsidRPr="003516D2">
        <w:rPr>
          <w:rFonts w:ascii="Times New Roman" w:hAnsi="Times New Roman" w:cs="Times New Roman"/>
          <w:sz w:val="24"/>
          <w:szCs w:val="24"/>
        </w:rPr>
        <w:t xml:space="preserve"> (</w:t>
      </w:r>
      <w:r w:rsidR="00894FA7" w:rsidRPr="003516D2">
        <w:rPr>
          <w:rFonts w:ascii="Times New Roman" w:hAnsi="Times New Roman" w:cs="Times New Roman"/>
          <w:color w:val="222222"/>
          <w:sz w:val="24"/>
          <w:szCs w:val="24"/>
          <w:shd w:val="clear" w:color="auto" w:fill="FFFFFF"/>
        </w:rPr>
        <w:t>Saunders et al., 2019)</w:t>
      </w:r>
      <w:r w:rsidR="000C4CBD" w:rsidRPr="003516D2">
        <w:rPr>
          <w:rFonts w:ascii="Times New Roman" w:hAnsi="Times New Roman" w:cs="Times New Roman"/>
          <w:sz w:val="24"/>
          <w:szCs w:val="24"/>
        </w:rPr>
        <w:t xml:space="preserve">. Here, issues such as overcrowding in the emergency section may lead to increased in-patient deaths, more extended periods of hospital stay, and increased cost of care. Creating better analytics platform applications to provide a more actionable and timely emergency department performance would improve four key areas. These areas are staffing sequences, registration, triage evaluation by a nursing practitioner, </w:t>
      </w:r>
      <w:r w:rsidR="00DF1D2F" w:rsidRPr="003516D2">
        <w:rPr>
          <w:rFonts w:ascii="Times New Roman" w:hAnsi="Times New Roman" w:cs="Times New Roman"/>
          <w:sz w:val="24"/>
          <w:szCs w:val="24"/>
        </w:rPr>
        <w:t>and early access to a qualified caregiver.</w:t>
      </w:r>
    </w:p>
    <w:p w:rsidR="00DF1D2F"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t>The medical facility should engage in activities to reduce hospital readmission rates to lower the related costs significantly. The reason is that readmissions present huge costs, yet they are extensively avoidable. In doing this, KFMC should take measures to improve the accuracy and timeliness of patient data. These measures would facilitate more informed decision-making processes and better patient monitoring.</w:t>
      </w:r>
    </w:p>
    <w:p w:rsidR="00C66351" w:rsidRPr="003516D2" w:rsidRDefault="00231FA4" w:rsidP="00ED6AD2">
      <w:pPr>
        <w:spacing w:line="480" w:lineRule="auto"/>
        <w:ind w:firstLine="720"/>
        <w:rPr>
          <w:rFonts w:ascii="Times New Roman" w:hAnsi="Times New Roman" w:cs="Times New Roman"/>
          <w:sz w:val="24"/>
          <w:szCs w:val="24"/>
        </w:rPr>
      </w:pPr>
      <w:r w:rsidRPr="003516D2">
        <w:rPr>
          <w:rFonts w:ascii="Times New Roman" w:hAnsi="Times New Roman" w:cs="Times New Roman"/>
          <w:sz w:val="24"/>
          <w:szCs w:val="24"/>
        </w:rPr>
        <w:lastRenderedPageBreak/>
        <w:t xml:space="preserve">According to </w:t>
      </w:r>
      <w:r w:rsidRPr="003516D2">
        <w:rPr>
          <w:rFonts w:ascii="Times New Roman" w:hAnsi="Times New Roman" w:cs="Times New Roman"/>
          <w:color w:val="222222"/>
          <w:sz w:val="24"/>
          <w:szCs w:val="24"/>
          <w:shd w:val="clear" w:color="auto" w:fill="FFFFFF"/>
        </w:rPr>
        <w:t>Saunders</w:t>
      </w:r>
      <w:r w:rsidRPr="003516D2">
        <w:rPr>
          <w:rFonts w:ascii="Times New Roman" w:hAnsi="Times New Roman" w:cs="Times New Roman"/>
          <w:sz w:val="24"/>
          <w:szCs w:val="24"/>
        </w:rPr>
        <w:t xml:space="preserve"> et al. (2019), </w:t>
      </w:r>
      <w:r w:rsidR="003516D2" w:rsidRPr="003516D2">
        <w:rPr>
          <w:rFonts w:ascii="Times New Roman" w:hAnsi="Times New Roman" w:cs="Times New Roman"/>
          <w:sz w:val="24"/>
          <w:szCs w:val="24"/>
        </w:rPr>
        <w:t>t</w:t>
      </w:r>
      <w:r w:rsidR="00DF1D2F" w:rsidRPr="003516D2">
        <w:rPr>
          <w:rFonts w:ascii="Times New Roman" w:hAnsi="Times New Roman" w:cs="Times New Roman"/>
          <w:sz w:val="24"/>
          <w:szCs w:val="24"/>
        </w:rPr>
        <w:t xml:space="preserve">he safety of care outcome measures deals with medical errors. The management may prevent these errors by employing measures to facilitate a more effective inter-disciplinary team approach in providing care. </w:t>
      </w:r>
      <w:r w:rsidRPr="003516D2">
        <w:rPr>
          <w:rFonts w:ascii="Times New Roman" w:hAnsi="Times New Roman" w:cs="Times New Roman"/>
          <w:sz w:val="24"/>
          <w:szCs w:val="24"/>
        </w:rPr>
        <w:t>Again, the hospital should act to avoid hospital-acquired infections, which curtail performance in many health centers. On the effectiveness of care, compliance with best-practice care regulations would help rate the facility's performance highly. By following these guidelines, patient outcomes would improve significantly. In addition, monitoring treatment outcomes would enable clinicians to identify guidelines' sections that require reviews.</w:t>
      </w:r>
      <w:r w:rsidRPr="003516D2">
        <w:rPr>
          <w:rFonts w:ascii="Times New Roman" w:hAnsi="Times New Roman" w:cs="Times New Roman"/>
          <w:sz w:val="24"/>
          <w:szCs w:val="24"/>
        </w:rPr>
        <w:br w:type="page"/>
      </w:r>
    </w:p>
    <w:p w:rsidR="00DF1D2F" w:rsidRPr="003516D2" w:rsidRDefault="00231FA4" w:rsidP="00ED6AD2">
      <w:pPr>
        <w:spacing w:line="480" w:lineRule="auto"/>
        <w:jc w:val="center"/>
        <w:rPr>
          <w:rFonts w:ascii="Times New Roman" w:hAnsi="Times New Roman" w:cs="Times New Roman"/>
          <w:sz w:val="24"/>
          <w:szCs w:val="24"/>
        </w:rPr>
      </w:pPr>
      <w:r w:rsidRPr="003516D2">
        <w:rPr>
          <w:rFonts w:ascii="Times New Roman" w:hAnsi="Times New Roman" w:cs="Times New Roman"/>
          <w:sz w:val="24"/>
          <w:szCs w:val="24"/>
        </w:rPr>
        <w:lastRenderedPageBreak/>
        <w:t>References</w:t>
      </w:r>
    </w:p>
    <w:p w:rsidR="003516D2" w:rsidRPr="003516D2" w:rsidRDefault="00231FA4" w:rsidP="00ED6AD2">
      <w:pPr>
        <w:spacing w:line="480" w:lineRule="auto"/>
        <w:ind w:left="720" w:hanging="720"/>
        <w:rPr>
          <w:rFonts w:ascii="Times New Roman" w:hAnsi="Times New Roman" w:cs="Times New Roman"/>
          <w:color w:val="222222"/>
          <w:sz w:val="24"/>
          <w:szCs w:val="24"/>
          <w:shd w:val="clear" w:color="auto" w:fill="FFFFFF"/>
        </w:rPr>
      </w:pPr>
      <w:r w:rsidRPr="003516D2">
        <w:rPr>
          <w:rFonts w:ascii="Times New Roman" w:hAnsi="Times New Roman" w:cs="Times New Roman"/>
          <w:color w:val="222222"/>
          <w:sz w:val="24"/>
          <w:szCs w:val="24"/>
          <w:shd w:val="clear" w:color="auto" w:fill="FFFFFF"/>
        </w:rPr>
        <w:t>Alsaheel, A. Y., Alayed, S. I., Alotaibi, Y. M., Alfahhad, A. A., Alothman, O. M., &amp; Alnefaie, H. F. (2020). Mean glycosylated hemoglobin in children with type 1 diabetes at King Fahad Medical City, Riyadh, Saudi Arabia. </w:t>
      </w:r>
      <w:r w:rsidRPr="003516D2">
        <w:rPr>
          <w:rFonts w:ascii="Times New Roman" w:hAnsi="Times New Roman" w:cs="Times New Roman"/>
          <w:i/>
          <w:iCs/>
          <w:color w:val="222222"/>
          <w:sz w:val="24"/>
          <w:szCs w:val="24"/>
          <w:shd w:val="clear" w:color="auto" w:fill="FFFFFF"/>
        </w:rPr>
        <w:t>Journal of Family &amp; Community Medicine</w:t>
      </w:r>
      <w:r w:rsidRPr="003516D2">
        <w:rPr>
          <w:rFonts w:ascii="Times New Roman" w:hAnsi="Times New Roman" w:cs="Times New Roman"/>
          <w:color w:val="222222"/>
          <w:sz w:val="24"/>
          <w:szCs w:val="24"/>
          <w:shd w:val="clear" w:color="auto" w:fill="FFFFFF"/>
        </w:rPr>
        <w:t>, </w:t>
      </w:r>
      <w:r w:rsidRPr="003516D2">
        <w:rPr>
          <w:rFonts w:ascii="Times New Roman" w:hAnsi="Times New Roman" w:cs="Times New Roman"/>
          <w:i/>
          <w:iCs/>
          <w:color w:val="222222"/>
          <w:sz w:val="24"/>
          <w:szCs w:val="24"/>
          <w:shd w:val="clear" w:color="auto" w:fill="FFFFFF"/>
        </w:rPr>
        <w:t>27</w:t>
      </w:r>
      <w:r w:rsidRPr="003516D2">
        <w:rPr>
          <w:rFonts w:ascii="Times New Roman" w:hAnsi="Times New Roman" w:cs="Times New Roman"/>
          <w:color w:val="222222"/>
          <w:sz w:val="24"/>
          <w:szCs w:val="24"/>
          <w:shd w:val="clear" w:color="auto" w:fill="FFFFFF"/>
        </w:rPr>
        <w:t>(3), 163.</w:t>
      </w:r>
    </w:p>
    <w:p w:rsidR="003516D2" w:rsidRPr="003516D2" w:rsidRDefault="00231FA4" w:rsidP="00ED6AD2">
      <w:pPr>
        <w:spacing w:line="480" w:lineRule="auto"/>
        <w:ind w:left="720" w:hanging="720"/>
        <w:rPr>
          <w:rFonts w:ascii="Times New Roman" w:hAnsi="Times New Roman" w:cs="Times New Roman"/>
          <w:color w:val="222222"/>
          <w:sz w:val="24"/>
          <w:szCs w:val="24"/>
          <w:shd w:val="clear" w:color="auto" w:fill="FFFFFF"/>
        </w:rPr>
      </w:pPr>
      <w:r w:rsidRPr="003516D2">
        <w:rPr>
          <w:rFonts w:ascii="Times New Roman" w:hAnsi="Times New Roman" w:cs="Times New Roman"/>
          <w:color w:val="222222"/>
          <w:sz w:val="24"/>
          <w:szCs w:val="24"/>
          <w:shd w:val="clear" w:color="auto" w:fill="FFFFFF"/>
        </w:rPr>
        <w:t>Cinaroglu, S., &amp; Baser, O. (2018). Understanding the relationship between effectiveness and outcome indicators to improve quality in healthcare. </w:t>
      </w:r>
      <w:r w:rsidRPr="003516D2">
        <w:rPr>
          <w:rFonts w:ascii="Times New Roman" w:hAnsi="Times New Roman" w:cs="Times New Roman"/>
          <w:i/>
          <w:iCs/>
          <w:color w:val="222222"/>
          <w:sz w:val="24"/>
          <w:szCs w:val="24"/>
          <w:shd w:val="clear" w:color="auto" w:fill="FFFFFF"/>
        </w:rPr>
        <w:t>Total Quality Management &amp; Business Excellence</w:t>
      </w:r>
      <w:r w:rsidRPr="003516D2">
        <w:rPr>
          <w:rFonts w:ascii="Times New Roman" w:hAnsi="Times New Roman" w:cs="Times New Roman"/>
          <w:color w:val="222222"/>
          <w:sz w:val="24"/>
          <w:szCs w:val="24"/>
          <w:shd w:val="clear" w:color="auto" w:fill="FFFFFF"/>
        </w:rPr>
        <w:t>, </w:t>
      </w:r>
      <w:r w:rsidRPr="003516D2">
        <w:rPr>
          <w:rFonts w:ascii="Times New Roman" w:hAnsi="Times New Roman" w:cs="Times New Roman"/>
          <w:i/>
          <w:iCs/>
          <w:color w:val="222222"/>
          <w:sz w:val="24"/>
          <w:szCs w:val="24"/>
          <w:shd w:val="clear" w:color="auto" w:fill="FFFFFF"/>
        </w:rPr>
        <w:t>29</w:t>
      </w:r>
      <w:r w:rsidRPr="003516D2">
        <w:rPr>
          <w:rFonts w:ascii="Times New Roman" w:hAnsi="Times New Roman" w:cs="Times New Roman"/>
          <w:color w:val="222222"/>
          <w:sz w:val="24"/>
          <w:szCs w:val="24"/>
          <w:shd w:val="clear" w:color="auto" w:fill="FFFFFF"/>
        </w:rPr>
        <w:t>(11-12), 1294-1311.</w:t>
      </w:r>
    </w:p>
    <w:p w:rsidR="003516D2" w:rsidRPr="003516D2" w:rsidRDefault="00231FA4" w:rsidP="00ED6AD2">
      <w:pPr>
        <w:spacing w:line="480" w:lineRule="auto"/>
        <w:ind w:left="720" w:hanging="720"/>
        <w:rPr>
          <w:rFonts w:ascii="Times New Roman" w:hAnsi="Times New Roman" w:cs="Times New Roman"/>
          <w:color w:val="222222"/>
          <w:sz w:val="24"/>
          <w:szCs w:val="24"/>
          <w:shd w:val="clear" w:color="auto" w:fill="FFFFFF"/>
        </w:rPr>
      </w:pPr>
      <w:r w:rsidRPr="003516D2">
        <w:rPr>
          <w:rFonts w:ascii="Times New Roman" w:hAnsi="Times New Roman" w:cs="Times New Roman"/>
          <w:color w:val="222222"/>
          <w:sz w:val="24"/>
          <w:szCs w:val="24"/>
          <w:shd w:val="clear" w:color="auto" w:fill="FFFFFF"/>
        </w:rPr>
        <w:t>Farah, S. M., Alshehri, M. A., Alfawaz, T. S., Alasmeri, F. A., Alageel, A. A., &amp; Alshahrani, D. A. (2019). Trends in antimicrobial susceptibility patterns in King Fahad Medical City, Riyadh, Saudi Arabia. </w:t>
      </w:r>
      <w:r w:rsidRPr="003516D2">
        <w:rPr>
          <w:rFonts w:ascii="Times New Roman" w:hAnsi="Times New Roman" w:cs="Times New Roman"/>
          <w:i/>
          <w:iCs/>
          <w:color w:val="222222"/>
          <w:sz w:val="24"/>
          <w:szCs w:val="24"/>
          <w:shd w:val="clear" w:color="auto" w:fill="FFFFFF"/>
        </w:rPr>
        <w:t>Saudi medical journal</w:t>
      </w:r>
      <w:r w:rsidRPr="003516D2">
        <w:rPr>
          <w:rFonts w:ascii="Times New Roman" w:hAnsi="Times New Roman" w:cs="Times New Roman"/>
          <w:color w:val="222222"/>
          <w:sz w:val="24"/>
          <w:szCs w:val="24"/>
          <w:shd w:val="clear" w:color="auto" w:fill="FFFFFF"/>
        </w:rPr>
        <w:t>, </w:t>
      </w:r>
      <w:r w:rsidRPr="003516D2">
        <w:rPr>
          <w:rFonts w:ascii="Times New Roman" w:hAnsi="Times New Roman" w:cs="Times New Roman"/>
          <w:i/>
          <w:iCs/>
          <w:color w:val="222222"/>
          <w:sz w:val="24"/>
          <w:szCs w:val="24"/>
          <w:shd w:val="clear" w:color="auto" w:fill="FFFFFF"/>
        </w:rPr>
        <w:t>40</w:t>
      </w:r>
      <w:r w:rsidRPr="003516D2">
        <w:rPr>
          <w:rFonts w:ascii="Times New Roman" w:hAnsi="Times New Roman" w:cs="Times New Roman"/>
          <w:color w:val="222222"/>
          <w:sz w:val="24"/>
          <w:szCs w:val="24"/>
          <w:shd w:val="clear" w:color="auto" w:fill="FFFFFF"/>
        </w:rPr>
        <w:t>(3), 252.</w:t>
      </w:r>
    </w:p>
    <w:p w:rsidR="003516D2" w:rsidRPr="003516D2" w:rsidRDefault="00231FA4" w:rsidP="00ED6AD2">
      <w:pPr>
        <w:spacing w:line="480" w:lineRule="auto"/>
        <w:ind w:left="720" w:hanging="720"/>
        <w:rPr>
          <w:rFonts w:ascii="Times New Roman" w:hAnsi="Times New Roman" w:cs="Times New Roman"/>
          <w:sz w:val="24"/>
          <w:szCs w:val="24"/>
        </w:rPr>
      </w:pPr>
      <w:r w:rsidRPr="003516D2">
        <w:rPr>
          <w:rFonts w:ascii="Times New Roman" w:hAnsi="Times New Roman" w:cs="Times New Roman"/>
          <w:color w:val="222222"/>
          <w:sz w:val="24"/>
          <w:szCs w:val="24"/>
          <w:shd w:val="clear" w:color="auto" w:fill="FFFFFF"/>
        </w:rPr>
        <w:t>Saunders, H., Gallagher‐Ford, L., Kvist, T., &amp; Vehviläinen‐Julkunen, K. (2019). Practicing healthcare professionals’ evidence‐based practice competencies: An overview of systematic reviews. </w:t>
      </w:r>
      <w:r w:rsidRPr="003516D2">
        <w:rPr>
          <w:rFonts w:ascii="Times New Roman" w:hAnsi="Times New Roman" w:cs="Times New Roman"/>
          <w:i/>
          <w:iCs/>
          <w:color w:val="222222"/>
          <w:sz w:val="24"/>
          <w:szCs w:val="24"/>
          <w:shd w:val="clear" w:color="auto" w:fill="FFFFFF"/>
        </w:rPr>
        <w:t>Worldviews on Evidence‐Based Nursing</w:t>
      </w:r>
      <w:r w:rsidRPr="003516D2">
        <w:rPr>
          <w:rFonts w:ascii="Times New Roman" w:hAnsi="Times New Roman" w:cs="Times New Roman"/>
          <w:color w:val="222222"/>
          <w:sz w:val="24"/>
          <w:szCs w:val="24"/>
          <w:shd w:val="clear" w:color="auto" w:fill="FFFFFF"/>
        </w:rPr>
        <w:t>, </w:t>
      </w:r>
      <w:r w:rsidRPr="003516D2">
        <w:rPr>
          <w:rFonts w:ascii="Times New Roman" w:hAnsi="Times New Roman" w:cs="Times New Roman"/>
          <w:i/>
          <w:iCs/>
          <w:color w:val="222222"/>
          <w:sz w:val="24"/>
          <w:szCs w:val="24"/>
          <w:shd w:val="clear" w:color="auto" w:fill="FFFFFF"/>
        </w:rPr>
        <w:t>16</w:t>
      </w:r>
      <w:r w:rsidRPr="003516D2">
        <w:rPr>
          <w:rFonts w:ascii="Times New Roman" w:hAnsi="Times New Roman" w:cs="Times New Roman"/>
          <w:color w:val="222222"/>
          <w:sz w:val="24"/>
          <w:szCs w:val="24"/>
          <w:shd w:val="clear" w:color="auto" w:fill="FFFFFF"/>
        </w:rPr>
        <w:t>(3), 176-185.</w:t>
      </w:r>
    </w:p>
    <w:sectPr w:rsidR="003516D2" w:rsidRPr="003516D2" w:rsidSect="00323D1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856" w:rsidRDefault="00EE7856">
      <w:pPr>
        <w:spacing w:after="0" w:line="240" w:lineRule="auto"/>
      </w:pPr>
      <w:r>
        <w:separator/>
      </w:r>
    </w:p>
  </w:endnote>
  <w:endnote w:type="continuationSeparator" w:id="1">
    <w:p w:rsidR="00EE7856" w:rsidRDefault="00EE78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856" w:rsidRDefault="00EE7856">
      <w:pPr>
        <w:spacing w:after="0" w:line="240" w:lineRule="auto"/>
      </w:pPr>
      <w:r>
        <w:separator/>
      </w:r>
    </w:p>
  </w:footnote>
  <w:footnote w:type="continuationSeparator" w:id="1">
    <w:p w:rsidR="00EE7856" w:rsidRDefault="00EE78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7735270"/>
      <w:docPartObj>
        <w:docPartGallery w:val="Page Numbers (Top of Page)"/>
        <w:docPartUnique/>
      </w:docPartObj>
    </w:sdtPr>
    <w:sdtEndPr>
      <w:rPr>
        <w:rFonts w:ascii="Times New Roman" w:hAnsi="Times New Roman" w:cs="Times New Roman"/>
        <w:noProof/>
        <w:sz w:val="24"/>
        <w:szCs w:val="24"/>
      </w:rPr>
    </w:sdtEndPr>
    <w:sdtContent>
      <w:p w:rsidR="00927685" w:rsidRPr="00927685" w:rsidRDefault="0096373A">
        <w:pPr>
          <w:pStyle w:val="Header"/>
          <w:jc w:val="right"/>
          <w:rPr>
            <w:rFonts w:ascii="Times New Roman" w:hAnsi="Times New Roman" w:cs="Times New Roman"/>
            <w:sz w:val="24"/>
            <w:szCs w:val="24"/>
          </w:rPr>
        </w:pPr>
        <w:r w:rsidRPr="00927685">
          <w:rPr>
            <w:rFonts w:ascii="Times New Roman" w:hAnsi="Times New Roman" w:cs="Times New Roman"/>
            <w:sz w:val="24"/>
            <w:szCs w:val="24"/>
          </w:rPr>
          <w:fldChar w:fldCharType="begin"/>
        </w:r>
        <w:r w:rsidR="00231FA4" w:rsidRPr="00927685">
          <w:rPr>
            <w:rFonts w:ascii="Times New Roman" w:hAnsi="Times New Roman" w:cs="Times New Roman"/>
            <w:sz w:val="24"/>
            <w:szCs w:val="24"/>
          </w:rPr>
          <w:instrText xml:space="preserve"> PAGE   \* MERGEFORMAT </w:instrText>
        </w:r>
        <w:r w:rsidRPr="00927685">
          <w:rPr>
            <w:rFonts w:ascii="Times New Roman" w:hAnsi="Times New Roman" w:cs="Times New Roman"/>
            <w:sz w:val="24"/>
            <w:szCs w:val="24"/>
          </w:rPr>
          <w:fldChar w:fldCharType="separate"/>
        </w:r>
        <w:r w:rsidR="005A0162">
          <w:rPr>
            <w:rFonts w:ascii="Times New Roman" w:hAnsi="Times New Roman" w:cs="Times New Roman"/>
            <w:noProof/>
            <w:sz w:val="24"/>
            <w:szCs w:val="24"/>
          </w:rPr>
          <w:t>1</w:t>
        </w:r>
        <w:r w:rsidRPr="00927685">
          <w:rPr>
            <w:rFonts w:ascii="Times New Roman" w:hAnsi="Times New Roman" w:cs="Times New Roman"/>
            <w:noProof/>
            <w:sz w:val="24"/>
            <w:szCs w:val="24"/>
          </w:rPr>
          <w:fldChar w:fldCharType="end"/>
        </w:r>
      </w:p>
    </w:sdtContent>
  </w:sdt>
  <w:p w:rsidR="00927685" w:rsidRDefault="009276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7685"/>
    <w:rsid w:val="000C4CBD"/>
    <w:rsid w:val="000D70C9"/>
    <w:rsid w:val="00231FA4"/>
    <w:rsid w:val="00323D12"/>
    <w:rsid w:val="003516D2"/>
    <w:rsid w:val="00381061"/>
    <w:rsid w:val="005404AF"/>
    <w:rsid w:val="005A0162"/>
    <w:rsid w:val="005E3928"/>
    <w:rsid w:val="00670AB2"/>
    <w:rsid w:val="007F0542"/>
    <w:rsid w:val="0083034F"/>
    <w:rsid w:val="00894FA7"/>
    <w:rsid w:val="008C284E"/>
    <w:rsid w:val="00927685"/>
    <w:rsid w:val="0096373A"/>
    <w:rsid w:val="00972005"/>
    <w:rsid w:val="00B405D8"/>
    <w:rsid w:val="00C66351"/>
    <w:rsid w:val="00D642D0"/>
    <w:rsid w:val="00DF1D2F"/>
    <w:rsid w:val="00ED6AD2"/>
    <w:rsid w:val="00EE78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D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685"/>
  </w:style>
  <w:style w:type="paragraph" w:styleId="Footer">
    <w:name w:val="footer"/>
    <w:basedOn w:val="Normal"/>
    <w:link w:val="FooterChar"/>
    <w:uiPriority w:val="99"/>
    <w:unhideWhenUsed/>
    <w:rsid w:val="00927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6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2021-09-29T05:50:00Z</dcterms:created>
  <dcterms:modified xsi:type="dcterms:W3CDTF">2021-09-29T05:50:00Z</dcterms:modified>
</cp:coreProperties>
</file>